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4"/>
        <w:widowControl/>
        <w:shd w:val="clear" w:fill="D9D9D9"/>
        <w:ind w:left="0" w:hanging="0"/>
        <w:jc w:val="center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  <w:t>ANEXO IV</w:t>
      </w:r>
    </w:p>
    <w:p>
      <w:pPr>
        <w:pStyle w:val="Normal1"/>
        <w:jc w:val="center"/>
        <w:rPr>
          <w:rFonts w:ascii="Roboto" w:hAnsi="Roboto" w:eastAsia="Roboto" w:cs="Roboto"/>
          <w:b/>
          <w:b/>
          <w:sz w:val="20"/>
          <w:szCs w:val="20"/>
          <w:highlight w:val="yellow"/>
        </w:rPr>
      </w:pPr>
      <w:r>
        <w:rPr>
          <w:rFonts w:eastAsia="Roboto" w:cs="Roboto" w:ascii="Roboto" w:hAnsi="Roboto"/>
          <w:b/>
          <w:sz w:val="20"/>
          <w:szCs w:val="20"/>
          <w:highlight w:val="yellow"/>
        </w:rPr>
      </w:r>
    </w:p>
    <w:p>
      <w:pPr>
        <w:pStyle w:val="Normal1"/>
        <w:jc w:val="center"/>
        <w:rPr>
          <w:rFonts w:ascii="Roboto" w:hAnsi="Roboto" w:eastAsia="Roboto" w:cs="Roboto"/>
          <w:b/>
          <w:b/>
          <w:sz w:val="20"/>
          <w:szCs w:val="20"/>
          <w:highlight w:val="white"/>
        </w:rPr>
      </w:pPr>
      <w:r>
        <w:rPr>
          <w:rFonts w:eastAsia="Roboto" w:cs="Roboto" w:ascii="Roboto" w:hAnsi="Roboto"/>
          <w:b/>
          <w:sz w:val="20"/>
          <w:szCs w:val="20"/>
          <w:highlight w:val="white"/>
        </w:rPr>
        <w:t>Modelo</w:t>
      </w:r>
    </w:p>
    <w:p>
      <w:pPr>
        <w:pStyle w:val="Normal1"/>
        <w:jc w:val="center"/>
        <w:rPr>
          <w:rFonts w:ascii="Roboto" w:hAnsi="Roboto" w:eastAsia="Roboto" w:cs="Roboto"/>
          <w:b/>
          <w:b/>
          <w:sz w:val="20"/>
          <w:szCs w:val="20"/>
          <w:highlight w:val="yellow"/>
        </w:rPr>
      </w:pPr>
      <w:r>
        <w:rPr>
          <w:rFonts w:eastAsia="Roboto" w:cs="Roboto" w:ascii="Roboto" w:hAnsi="Roboto"/>
          <w:b/>
          <w:sz w:val="20"/>
          <w:szCs w:val="20"/>
          <w:highlight w:val="yellow"/>
        </w:rPr>
      </w:r>
    </w:p>
    <w:p>
      <w:pPr>
        <w:pStyle w:val="Normal1"/>
        <w:jc w:val="center"/>
        <w:rPr>
          <w:rFonts w:ascii="Roboto" w:hAnsi="Roboto" w:eastAsia="Roboto" w:cs="Roboto"/>
        </w:rPr>
      </w:pPr>
      <w:r>
        <w:rPr>
          <w:rFonts w:eastAsia="Roboto" w:cs="Roboto" w:ascii="Roboto" w:hAnsi="Roboto"/>
          <w:b/>
          <w:sz w:val="20"/>
          <w:szCs w:val="20"/>
        </w:rPr>
        <w:t>DECLARAÇÃO DE VISTORIA</w:t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  <w:t xml:space="preserve">Declaramos para os devidos fins que a empresa cujos dados serão elencados a seguir, representada por seu responsável (técnico/legal), fez a vistoria em companhia do servidor da UNILA, inteirando-se de todos os aspectos e características inerentes aos locais de execução dos serviços, bem como serviços e materiais necessários à perfeita execução do objeto do Termo de Referência do Pregão Eletrônico nº </w:t>
      </w:r>
      <w:r>
        <w:rPr>
          <w:rFonts w:eastAsia="Roboto" w:cs="Roboto" w:ascii="Roboto" w:hAnsi="Roboto"/>
          <w:sz w:val="20"/>
          <w:szCs w:val="20"/>
        </w:rPr>
        <w:t>900</w:t>
      </w:r>
      <w:r>
        <w:rPr>
          <w:rFonts w:eastAsia="Roboto" w:cs="Roboto" w:ascii="Roboto" w:hAnsi="Roboto"/>
          <w:sz w:val="20"/>
          <w:szCs w:val="20"/>
        </w:rPr>
        <w:t>19/2024.</w:t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  <w:t xml:space="preserve">Nome da Empresa: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CNPJ (MF):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Nome do Representante: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Nº do CI do Representante: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Endereço: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Telefone: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 xml:space="preserve">Correio Eletrônico: </w:t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>Local e Data</w:t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ab/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</w:r>
      <w:r>
        <w:rPr>
          <w:rFonts w:eastAsia="Roboto" w:cs="Roboto" w:ascii="Roboto" w:hAnsi="Roboto"/>
          <w:sz w:val="20"/>
          <w:szCs w:val="20"/>
          <w:u w:val="none"/>
        </w:rPr>
        <w:tab/>
      </w:r>
      <w:r>
        <w:rPr>
          <w:rFonts w:eastAsia="Roboto" w:cs="Roboto" w:ascii="Roboto" w:hAnsi="Roboto"/>
          <w:sz w:val="20"/>
          <w:szCs w:val="20"/>
          <w:u w:val="single"/>
        </w:rPr>
        <w:tab/>
        <w:tab/>
        <w:tab/>
        <w:tab/>
        <w:tab/>
      </w:r>
    </w:p>
    <w:p>
      <w:pPr>
        <w:pStyle w:val="Normal1"/>
        <w:spacing w:lineRule="auto" w:line="360" w:before="0" w:after="0"/>
        <w:ind w:left="0" w:right="0" w:hanging="0"/>
        <w:jc w:val="both"/>
        <w:rPr>
          <w:rFonts w:ascii="Roboto" w:hAnsi="Roboto" w:eastAsia="Roboto" w:cs="Roboto"/>
          <w:sz w:val="20"/>
          <w:szCs w:val="20"/>
          <w:u w:val="none"/>
        </w:rPr>
      </w:pPr>
      <w:r>
        <w:rPr>
          <w:rFonts w:eastAsia="Roboto" w:cs="Roboto" w:ascii="Roboto" w:hAnsi="Roboto"/>
          <w:sz w:val="20"/>
          <w:szCs w:val="20"/>
          <w:u w:val="none"/>
        </w:rPr>
        <w:tab/>
        <w:t xml:space="preserve">       Representante legal da UNILA</w:t>
        <w:tab/>
        <w:tab/>
        <w:t xml:space="preserve">      Representante legal da Empresa</w:t>
      </w:r>
    </w:p>
    <w:p>
      <w:pPr>
        <w:pStyle w:val="Normal1"/>
        <w:spacing w:lineRule="auto" w:line="360"/>
        <w:jc w:val="center"/>
        <w:rPr>
          <w:rFonts w:ascii="Roboto" w:hAnsi="Roboto" w:eastAsia="Roboto" w:cs="Roboto"/>
          <w:b/>
          <w:b/>
          <w:sz w:val="20"/>
          <w:szCs w:val="20"/>
        </w:rPr>
      </w:pPr>
      <w:r>
        <w:rPr>
          <w:rFonts w:eastAsia="Roboto" w:cs="Roboto" w:ascii="Roboto" w:hAnsi="Roboto"/>
          <w:b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Roboto" w:hAnsi="Roboto" w:eastAsia="Roboto" w:cs="Roboto"/>
          <w:sz w:val="20"/>
          <w:szCs w:val="20"/>
        </w:rPr>
      </w:pPr>
      <w:r>
        <w:rPr>
          <w:rFonts w:eastAsia="Roboto" w:cs="Roboto" w:ascii="Roboto" w:hAnsi="Roboto"/>
          <w:sz w:val="20"/>
          <w:szCs w:val="20"/>
        </w:rPr>
      </w:r>
    </w:p>
    <w:p>
      <w:pPr>
        <w:pStyle w:val="Normal1"/>
        <w:tabs>
          <w:tab w:val="clear" w:pos="720"/>
          <w:tab w:val="left" w:pos="9072" w:leader="none"/>
        </w:tabs>
        <w:ind w:left="0" w:right="-108" w:hanging="0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b/>
          <w:sz w:val="20"/>
          <w:szCs w:val="20"/>
        </w:rPr>
        <w:t>NOTA:</w:t>
      </w:r>
      <w:r>
        <w:rPr>
          <w:rFonts w:eastAsia="Roboto" w:cs="Roboto" w:ascii="Roboto" w:hAnsi="Roboto"/>
          <w:sz w:val="20"/>
          <w:szCs w:val="20"/>
        </w:rPr>
        <w:t xml:space="preserve"> Por força do Acórdão n°. 906/2012 – Plenário/TCU, </w:t>
      </w:r>
      <w:r>
        <w:rPr>
          <w:rFonts w:eastAsia="Roboto" w:cs="Roboto" w:ascii="Roboto" w:hAnsi="Roboto"/>
          <w:b/>
          <w:i/>
          <w:sz w:val="20"/>
          <w:szCs w:val="20"/>
        </w:rPr>
        <w:t>caso a licitante não realize a visita técnica</w:t>
      </w:r>
      <w:r>
        <w:rPr>
          <w:rFonts w:eastAsia="Roboto" w:cs="Roboto" w:ascii="Roboto" w:hAnsi="Roboto"/>
          <w:sz w:val="20"/>
          <w:szCs w:val="20"/>
        </w:rPr>
        <w:t>, deverá apresentar, em substituição ao atestado de visita, declaração formal assinada pelo responsável, sob as penalidades da lei, que tem pleno conhecimento das condições e peculiaridades inerentes à natureza dos trabalhos, e sobre o local do serviço, assumindo total responsabilidade por esta declaração, ficando impedida, no futuro, de pleitear por força do conhecimento declarado, quaisquer alterações contratuais, de natureza técnica e/ou financeira.</w:t>
      </w:r>
    </w:p>
    <w:sectPr>
      <w:headerReference w:type="default" r:id="rId2"/>
      <w:footerReference w:type="default" r:id="rId3"/>
      <w:type w:val="nextPage"/>
      <w:pgSz w:w="11906" w:h="16838"/>
      <w:pgMar w:left="1701" w:right="1134" w:gutter="0" w:header="1417" w:top="3413" w:footer="1328" w:bottom="1385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Roboto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right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auto" w:val="clear"/>
        <w:vertAlign w:val="baseline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Roboto" w:hAnsi="Roboto" w:eastAsia="Roboto" w:cs="Roboto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797560" cy="64770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1"/>
      <w:keepNext w:val="false"/>
      <w:keepLines w:val="false"/>
      <w:widowControl w:val="false"/>
      <w:pBdr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center"/>
      <w:rPr>
        <w:rFonts w:ascii="Roboto" w:hAnsi="Roboto" w:eastAsia="Roboto" w:cs="Roboto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Roboto" w:cs="Roboto" w:ascii="Roboto" w:hAnsi="Roboto"/>
        <w:b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>Ministério da Educação</w:t>
    </w:r>
  </w:p>
  <w:p>
    <w:pPr>
      <w:pStyle w:val="Normal1"/>
      <w:jc w:val="center"/>
      <w:rPr>
        <w:rFonts w:ascii="Roboto" w:hAnsi="Roboto" w:eastAsia="Roboto" w:cs="Roboto"/>
        <w:b/>
        <w:b/>
        <w:sz w:val="20"/>
        <w:szCs w:val="20"/>
      </w:rPr>
    </w:pPr>
    <w:r>
      <w:rPr>
        <w:rFonts w:eastAsia="Roboto" w:cs="Roboto" w:ascii="Roboto" w:hAnsi="Roboto"/>
        <w:b/>
        <w:sz w:val="20"/>
        <w:szCs w:val="20"/>
      </w:rPr>
      <w:t>Universidade Federal da Integração Latino-Americana</w:t>
    </w:r>
  </w:p>
  <w:p>
    <w:pPr>
      <w:pStyle w:val="Normal1"/>
      <w:jc w:val="center"/>
      <w:rPr>
        <w:rFonts w:ascii="Roboto" w:hAnsi="Roboto" w:eastAsia="Roboto" w:cs="Roboto"/>
        <w:sz w:val="20"/>
        <w:szCs w:val="20"/>
      </w:rPr>
    </w:pPr>
    <w:r>
      <w:rPr>
        <w:rFonts w:eastAsia="Roboto" w:cs="Roboto" w:ascii="Roboto" w:hAnsi="Roboto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widowControl w:val="false"/>
      <w:tabs>
        <w:tab w:val="clear" w:pos="720"/>
        <w:tab w:val="left" w:pos="0" w:leader="none"/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8640" w:leader="none"/>
      </w:tabs>
      <w:ind w:left="432" w:hanging="432"/>
    </w:pPr>
    <w:rPr>
      <w:b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UaHN7wrYnfqPyAOYfbiuz2FM4Eg==">CgMxLjA4AHIhMUFxWTdRNEx5LVp1aWRjTTQ2V3VUOWJidmFFd0pFZU1R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183</Words>
  <Characters>1096</Characters>
  <CharactersWithSpaces>1356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2025-02-07T14:58:58Z</dcterms:modified>
  <cp:revision>1</cp:revision>
  <dc:subject/>
  <dc:title/>
</cp:coreProperties>
</file>